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X472b60ce7781c6b54cd253d20e8178463e096df"/>
    <w:p>
      <w:pPr>
        <w:pStyle w:val="Heading1"/>
      </w:pPr>
      <w:r>
        <w:t xml:space="preserve">Butterfly Security - One-Page Enterprise Sales Handout</w:t>
      </w:r>
    </w:p>
    <w:bookmarkStart w:id="9" w:name="positioning"/>
    <w:p>
      <w:pPr>
        <w:pStyle w:val="Heading2"/>
      </w:pPr>
      <w:r>
        <w:t xml:space="preserve">Positioning</w:t>
      </w:r>
    </w:p>
    <w:p>
      <w:pPr>
        <w:pStyle w:val="FirstParagraph"/>
      </w:pPr>
      <w:r>
        <w:t xml:space="preserve">Butterfly Security is an identity resilience platform for Okta teams focused on backup, recoverability, and compliance continuity. It is designed as a recovery and operator-focused layer, not a replacement for Okta.</w:t>
      </w:r>
    </w:p>
    <w:bookmarkEnd w:id="9"/>
    <w:bookmarkStart w:id="10" w:name="problem"/>
    <w:p>
      <w:pPr>
        <w:pStyle w:val="Heading2"/>
      </w:pPr>
      <w:r>
        <w:t xml:space="preserve">Problem</w:t>
      </w:r>
    </w:p>
    <w:p>
      <w:pPr>
        <w:pStyle w:val="FirstParagraph"/>
      </w:pPr>
      <w:r>
        <w:t xml:space="preserve">Identity misconfigurations and accidental changes can create broad enterprise disruption. Teams need more than detection - they need a reliable path to recover with confidence and auditability.</w:t>
      </w:r>
    </w:p>
    <w:bookmarkEnd w:id="10"/>
    <w:bookmarkStart w:id="11" w:name="what-you-get-with-butterfly"/>
    <w:p>
      <w:pPr>
        <w:pStyle w:val="Heading2"/>
      </w:pPr>
      <w:r>
        <w:t xml:space="preserve">What you get with Butterfly</w:t>
      </w:r>
    </w:p>
    <w:p>
      <w:pPr>
        <w:pStyle w:val="Compact"/>
        <w:numPr>
          <w:ilvl w:val="0"/>
          <w:numId w:val="1001"/>
        </w:numPr>
      </w:pPr>
      <w:r>
        <w:t xml:space="preserve">Scheduled and on-demand identity backups</w:t>
      </w:r>
    </w:p>
    <w:p>
      <w:pPr>
        <w:pStyle w:val="Compact"/>
        <w:numPr>
          <w:ilvl w:val="0"/>
          <w:numId w:val="1001"/>
        </w:numPr>
      </w:pPr>
      <w:r>
        <w:t xml:space="preserve">Change diffing and restore-context visibility</w:t>
      </w:r>
    </w:p>
    <w:p>
      <w:pPr>
        <w:pStyle w:val="Compact"/>
        <w:numPr>
          <w:ilvl w:val="0"/>
          <w:numId w:val="1001"/>
        </w:numPr>
      </w:pPr>
      <w:r>
        <w:t xml:space="preserve">Restore preview workflow before execution</w:t>
      </w:r>
    </w:p>
    <w:p>
      <w:pPr>
        <w:pStyle w:val="Compact"/>
        <w:numPr>
          <w:ilvl w:val="0"/>
          <w:numId w:val="1001"/>
        </w:numPr>
      </w:pPr>
      <w:r>
        <w:t xml:space="preserve">Compliance coverage support (SOC 2, HIPAA, PCI DSS, NIST, ISO 27001, CIS Controls)</w:t>
      </w:r>
    </w:p>
    <w:p>
      <w:pPr>
        <w:pStyle w:val="Compact"/>
        <w:numPr>
          <w:ilvl w:val="0"/>
          <w:numId w:val="1001"/>
        </w:numPr>
      </w:pPr>
      <w:r>
        <w:t xml:space="preserve">Readiness and operational visibility tools</w:t>
      </w:r>
    </w:p>
    <w:bookmarkEnd w:id="11"/>
    <w:bookmarkStart w:id="12" w:name="proof-anchors"/>
    <w:p>
      <w:pPr>
        <w:pStyle w:val="Heading2"/>
      </w:pPr>
      <w:r>
        <w:t xml:space="preserve">Proof anchors</w:t>
      </w:r>
    </w:p>
    <w:p>
      <w:pPr>
        <w:pStyle w:val="Compact"/>
        <w:numPr>
          <w:ilvl w:val="0"/>
          <w:numId w:val="1002"/>
        </w:numPr>
      </w:pPr>
      <w:r>
        <w:t xml:space="preserve">OIN listings:</w:t>
      </w:r>
    </w:p>
    <w:p>
      <w:pPr>
        <w:pStyle w:val="Compact"/>
        <w:numPr>
          <w:ilvl w:val="1"/>
          <w:numId w:val="1003"/>
        </w:numPr>
      </w:pPr>
      <w:r>
        <w:t xml:space="preserve">https://www.okta.com/integrations/butterfly-security/</w:t>
      </w:r>
    </w:p>
    <w:p>
      <w:pPr>
        <w:pStyle w:val="Compact"/>
        <w:numPr>
          <w:ilvl w:val="1"/>
          <w:numId w:val="1003"/>
        </w:numPr>
      </w:pPr>
      <w:r>
        <w:t xml:space="preserve">https://www.okta.com/integrations/butterfly-security-api-service/</w:t>
      </w:r>
    </w:p>
    <w:p>
      <w:pPr>
        <w:pStyle w:val="Compact"/>
        <w:numPr>
          <w:ilvl w:val="0"/>
          <w:numId w:val="1002"/>
        </w:numPr>
      </w:pPr>
      <w:r>
        <w:t xml:space="preserve">Demo: https://butterflysecurity.org/demo</w:t>
      </w:r>
    </w:p>
    <w:bookmarkEnd w:id="12"/>
    <w:bookmarkStart w:id="13" w:name="pilot-model-30-days"/>
    <w:p>
      <w:pPr>
        <w:pStyle w:val="Heading2"/>
      </w:pPr>
      <w:r>
        <w:t xml:space="preserve">Pilot model (30 days)</w:t>
      </w:r>
    </w:p>
    <w:p>
      <w:pPr>
        <w:pStyle w:val="Compact"/>
        <w:numPr>
          <w:ilvl w:val="0"/>
          <w:numId w:val="1004"/>
        </w:numPr>
      </w:pPr>
      <w:r>
        <w:t xml:space="preserve">Week 1: onboarding + baseline backup</w:t>
      </w:r>
    </w:p>
    <w:p>
      <w:pPr>
        <w:pStyle w:val="Compact"/>
        <w:numPr>
          <w:ilvl w:val="0"/>
          <w:numId w:val="1004"/>
        </w:numPr>
      </w:pPr>
      <w:r>
        <w:t xml:space="preserve">Week 2: monitoring and policy alignment</w:t>
      </w:r>
    </w:p>
    <w:p>
      <w:pPr>
        <w:pStyle w:val="Compact"/>
        <w:numPr>
          <w:ilvl w:val="0"/>
          <w:numId w:val="1004"/>
        </w:numPr>
      </w:pPr>
      <w:r>
        <w:t xml:space="preserve">Week 3: restore drill with a non-disruptive scenario</w:t>
      </w:r>
    </w:p>
    <w:p>
      <w:pPr>
        <w:pStyle w:val="Compact"/>
        <w:numPr>
          <w:ilvl w:val="0"/>
          <w:numId w:val="1004"/>
        </w:numPr>
      </w:pPr>
      <w:r>
        <w:t xml:space="preserve">Week 4: executive-style summary and ROI review</w:t>
      </w:r>
    </w:p>
    <w:bookmarkEnd w:id="13"/>
    <w:bookmarkStart w:id="14" w:name="why-enterprise-teams-choose-this-now"/>
    <w:p>
      <w:pPr>
        <w:pStyle w:val="Heading2"/>
      </w:pPr>
      <w:r>
        <w:t xml:space="preserve">Why enterprise teams choose this now</w:t>
      </w:r>
    </w:p>
    <w:p>
      <w:pPr>
        <w:pStyle w:val="Compact"/>
        <w:numPr>
          <w:ilvl w:val="0"/>
          <w:numId w:val="1005"/>
        </w:numPr>
      </w:pPr>
      <w:r>
        <w:t xml:space="preserve">Faster recovery with controlled execution</w:t>
      </w:r>
    </w:p>
    <w:p>
      <w:pPr>
        <w:pStyle w:val="Compact"/>
        <w:numPr>
          <w:ilvl w:val="0"/>
          <w:numId w:val="1005"/>
        </w:numPr>
      </w:pPr>
      <w:r>
        <w:t xml:space="preserve">Better incident readiness</w:t>
      </w:r>
    </w:p>
    <w:p>
      <w:pPr>
        <w:pStyle w:val="Compact"/>
        <w:numPr>
          <w:ilvl w:val="0"/>
          <w:numId w:val="1005"/>
        </w:numPr>
      </w:pPr>
      <w:r>
        <w:t xml:space="preserve">Better compliance traceability for security and audit stakeholders</w:t>
      </w:r>
    </w:p>
    <w:bookmarkEnd w:id="14"/>
    <w:bookmarkStart w:id="15" w:name="next-step"/>
    <w:p>
      <w:pPr>
        <w:pStyle w:val="Heading2"/>
      </w:pPr>
      <w:r>
        <w:t xml:space="preserve">Next step</w:t>
      </w:r>
    </w:p>
    <w:p>
      <w:pPr>
        <w:pStyle w:val="FirstParagraph"/>
      </w:pPr>
      <w:r>
        <w:t xml:space="preserve">Schedule a short alignment call: https://calendly.com/mick-butterflysecurity/30min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2026-06-10T02:29:28Z</dcterms:created>
  <dcterms:modified xsi:type="dcterms:W3CDTF">2026-06-10T02:29:28Z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